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6.png" ContentType="image/png"/>
  <Override PartName="/word/media/rId54.png" ContentType="image/png"/>
  <Override PartName="/word/media/rId29.png" ContentType="image/png"/>
  <Override PartName="/word/media/rId40.png" ContentType="image/png"/>
  <Override PartName="/word/media/rId71.png" ContentType="image/png"/>
  <Override PartName="/word/media/rId49.png" ContentType="image/png"/>
  <Override PartName="/word/media/rId89.png" ContentType="image/png"/>
  <Override PartName="/word/media/rId60.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Monitoring of</w:t>
      </w:r>
      <w:r>
        <w:t xml:space="preserve"> </w:t>
      </w:r>
      <w:r>
        <w:rPr>
          <w:i/>
          <w:iCs/>
        </w:rPr>
        <w:t xml:space="preserve">Gracilaria vermiculophylla</w:t>
      </w:r>
      <w:r>
        <w:t xml:space="preserve">: Mapping its Distribution at the Site of its First European Observation</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2024-12-21</w:t>
      </w:r>
    </w:p>
    <w:p>
      <w:pPr>
        <w:pStyle w:val="AbstractTitle"/>
      </w:pPr>
      <w:r>
        <w:t xml:space="preserve">Abstract</w:t>
      </w:r>
    </w:p>
    <w:p>
      <w:pPr>
        <w:pStyle w:val="Abstract"/>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p>
      <w:pPr>
        <w:pStyle w:val="FirstParagraph"/>
      </w:pPr>
      <w:r>
        <w:rPr>
          <w:rStyle w:val="FootnoteReference"/>
        </w:rPr>
        <w:footnoteReference w:id="20"/>
      </w:r>
    </w:p>
    <w:bookmarkStart w:id="21" w:name="title-proposition"/>
    <w:p>
      <w:pPr>
        <w:pStyle w:val="Heading1"/>
      </w:pPr>
      <w:r>
        <w:t xml:space="preserve">1. Title proposition</w:t>
      </w:r>
    </w:p>
    <w:p>
      <w:pPr>
        <w:pStyle w:val="Compact"/>
        <w:numPr>
          <w:ilvl w:val="0"/>
          <w:numId w:val="1001"/>
        </w:numPr>
      </w:pPr>
      <w:r>
        <w:t xml:space="preserve">Monitoring the marine invasive alien species</w:t>
      </w:r>
      <w:r>
        <w:t xml:space="preserve"> </w:t>
      </w:r>
      <w:r>
        <w:rPr>
          <w:i/>
          <w:iCs/>
        </w:rPr>
        <w:t xml:space="preserve">Gracilaria vermiculophylla</w:t>
      </w:r>
      <w:r>
        <w:t xml:space="preserve"> </w:t>
      </w:r>
      <w:r>
        <w:t xml:space="preserve">remotely</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22"/>
    <w:bookmarkStart w:id="48"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across France and Spain. At each site, two locations were investigated (</w:t>
      </w:r>
      <w:hyperlink w:anchor="fig-location_sites">
        <w:r>
          <w:rPr>
            <w:rStyle w:val="Hyperlink"/>
          </w:rPr>
          <w:t xml:space="preserve">Figure 1</w:t>
        </w:r>
      </w:hyperlink>
      <w:r>
        <w:t xml:space="preserve">). The Aven &amp; Belon estuaries in South Brittany, France (</w:t>
      </w:r>
      <w:hyperlink w:anchor="fig-location_sites">
        <w:r>
          <w:rPr>
            <w:rStyle w:val="Hyperlink"/>
          </w:rPr>
          <w:t xml:space="preserve">Figure 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p>
      <w:pPr>
        <w:pStyle w:val="BodyText"/>
      </w:pPr>
      <w:r>
        <w:t xml:space="preserve">The Saja-Besaya Estuary, situated along the Cantabrian Coast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Belon Estuary, France; C: Flights made in the Saja Estuariy, Spain. Golden polygons represent intertidal areas.</w:t>
            </w:r>
          </w:p>
          <w:bookmarkEnd w:id="26"/>
        </w:tc>
      </w:tr>
    </w:tbl>
    <w:bookmarkEnd w:id="27"/>
    <w:bookmarkEnd w:id="28"/>
    <w:bookmarkStart w:id="39"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howing cylindrical branches; C: Landscape view of mudflats covered by monospecific mats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
        <w:r>
          <w:rPr>
            <w:rStyle w:val="Hyperlink"/>
          </w:rPr>
          <w:t xml:space="preserve">Figure 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8" w:name="drone-data"/>
    <w:p>
      <w:pPr>
        <w:pStyle w:val="Heading3"/>
      </w:pPr>
      <w:r>
        <w:t xml:space="preserve">3.2.2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
        <w:r>
          <w:rPr>
            <w:rStyle w:val="Hyperlink"/>
          </w:rPr>
          <w:t xml:space="preserve">Figure 1</w:t>
        </w:r>
      </w:hyperlink>
      <w:r>
        <w:t xml:space="preserve">). The other two flights took place in the Belon and Aven estuaries on April 11, 2024, covering areas of 21.3 hectares and 26.7 hectares, respectively.</w:t>
      </w:r>
    </w:p>
    <w:bookmarkStart w:id="36" w:name="sec-photo"/>
    <w:p>
      <w:pPr>
        <w:pStyle w:val="Heading4"/>
      </w:pPr>
      <w:r>
        <w:t xml:space="preserve">3.2.2.1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6"/>
    <w:bookmarkStart w:id="37" w:name="lidar-data"/>
    <w:p>
      <w:pPr>
        <w:pStyle w:val="Heading4"/>
      </w:pPr>
      <w:r>
        <w:t xml:space="preserve">3.2.2.2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7"/>
    <w:bookmarkEnd w:id="38"/>
    <w:bookmarkEnd w:id="39"/>
    <w:bookmarkStart w:id="45" w:name="scene-classification"/>
    <w:p>
      <w:pPr>
        <w:pStyle w:val="Heading2"/>
      </w:pPr>
      <w:r>
        <w:t xml:space="preserve">3.3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
        <w:r>
          <w:rPr>
            <w:rStyle w:val="Hyperlink"/>
          </w:rPr>
          <w:t xml:space="preserve">Figure 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were added to the DISCOV training dataset from version 1 (</w:t>
      </w:r>
      <w:hyperlink w:anchor="sec-AnnexeA">
        <w:r>
          <w:rPr>
            <w:rStyle w:val="Hyperlink"/>
          </w:rPr>
          <w:t xml:space="preserve">Section 7.1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 (</w:t>
      </w:r>
      <w:hyperlink w:anchor="sec-AnnexeB">
        <w:r>
          <w:rPr>
            <w:rStyle w:val="Hyperlink"/>
          </w:rPr>
          <w:t xml:space="preserve">Section 7.2</w:t>
        </w:r>
      </w:hyperlink>
      <w:r>
        <w:t xml:space="preserve">). The validation dataset was then simplified into two classes: The presence or absence of Red Algae (</w:t>
      </w:r>
      <w:hyperlink w:anchor="fig-Workflow">
        <w:r>
          <w:rPr>
            <w:rStyle w:val="Hyperlink"/>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646420" cy="4298400"/>
                  <wp:effectExtent b="0" l="0" r="0" t="0"/>
                  <wp:docPr descr="" title="" id="41" name="Picture"/>
                  <a:graphic>
                    <a:graphicData uri="http://schemas.openxmlformats.org/drawingml/2006/picture">
                      <pic:pic>
                        <pic:nvPicPr>
                          <pic:cNvPr descr="./Figures/Low_res/Flowchart%20gracillaria.png" id="42" name="Picture"/>
                          <pic:cNvPicPr>
                            <a:picLocks noChangeArrowheads="1" noChangeAspect="1"/>
                          </pic:cNvPicPr>
                        </pic:nvPicPr>
                        <pic:blipFill>
                          <a:blip r:embed="rId40"/>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43"/>
        </w:tc>
      </w:tr>
    </w:tbl>
    <w:bookmarkEnd w:id="44"/>
    <w:bookmarkEnd w:id="45"/>
    <w:bookmarkStart w:id="46" w:name="Xee2dddcaa1211a6f2116377e612da7626914bc1"/>
    <w:p>
      <w:pPr>
        <w:pStyle w:val="Heading2"/>
      </w:pPr>
      <w:r>
        <w:t xml:space="preserve">3.4 Historical Presence of</w:t>
      </w:r>
      <w:r>
        <w:t xml:space="preserve"> </w:t>
      </w:r>
      <w:r>
        <w:rPr>
          <w:i/>
          <w:iCs/>
        </w:rPr>
        <w:t xml:space="preserve">Gracilaria vermiculophylla</w:t>
      </w:r>
      <w:r>
        <w:t xml:space="preserve"> </w:t>
      </w:r>
      <w:r>
        <w:t xml:space="preserve">in the Bélon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platform and an additional one has been added for the year 2024 (</w:t>
      </w:r>
      <w:hyperlink w:anchor="sec-AnnexeC">
        <w:r>
          <w:rPr>
            <w:rStyle w:val="Hyperlink"/>
          </w:rPr>
          <w:t xml:space="preserve">Section 7.3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46"/>
    <w:bookmarkStart w:id="47" w:name="statistical-analysis"/>
    <w:p>
      <w:pPr>
        <w:pStyle w:val="Heading2"/>
      </w:pPr>
      <w:r>
        <w:t xml:space="preserve">3.5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47"/>
    <w:bookmarkEnd w:id="48"/>
    <w:bookmarkStart w:id="77" w:name="results"/>
    <w:p>
      <w:pPr>
        <w:pStyle w:val="Heading1"/>
      </w:pPr>
      <w:r>
        <w:t xml:space="preserve">4. Results</w:t>
      </w:r>
    </w:p>
    <w:bookmarkStart w:id="59" w:name="historical-records-in-the-belon-estuary"/>
    <w:p>
      <w:pPr>
        <w:pStyle w:val="Heading2"/>
      </w:pPr>
      <w:r>
        <w:t xml:space="preserve">4.1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hyperlink w:anchor="fig-HistoricalMap">
        <w:r>
          <w:rPr>
            <w:rStyle w:val="Hyperlink"/>
          </w:rPr>
          <w:t xml:space="preserve">Figure 4</w:t>
        </w:r>
      </w:hyperlink>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bookmarkStart w:id="53" w:name="cell-fig-HistoricalMap"/>
    <w:tbl>
      <w:tblPr>
        <w:tblStyle w:val="Table"/>
        <w:tblW w:type="pct" w:w="5000"/>
        <w:tblLayout w:type="fixed"/>
        <w:tblLook w:firstRow="0" w:lastRow="0" w:firstColumn="0" w:lastColumn="0" w:noHBand="0" w:noVBand="0" w:val="0000"/>
      </w:tblPr>
      <w:tblGrid>
        <w:gridCol w:w="7920"/>
      </w:tblGrid>
      <w:tr>
        <w:tc>
          <w:tcPr/>
          <w:bookmarkStart w:id="52" w:name="fig-HistoricalMap"/>
          <w:p>
            <w:pPr>
              <w:pStyle w:val="Compact"/>
              <w:jc w:val="center"/>
            </w:pPr>
            <w:r>
              <w:drawing>
                <wp:inline>
                  <wp:extent cx="5646420" cy="2549358"/>
                  <wp:effectExtent b="0" l="0" r="0" t="0"/>
                  <wp:docPr descr="" title="" id="50" name="Picture"/>
                  <a:graphic>
                    <a:graphicData uri="http://schemas.openxmlformats.org/drawingml/2006/picture">
                      <pic:pic>
                        <pic:nvPicPr>
                          <pic:cNvPr descr="./Figures/Low_res/Historical_maps.png" id="51" name="Picture"/>
                          <pic:cNvPicPr>
                            <a:picLocks noChangeArrowheads="1" noChangeAspect="1"/>
                          </pic:cNvPicPr>
                        </pic:nvPicPr>
                        <pic:blipFill>
                          <a:blip r:embed="rId49"/>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images of the Belon Estuary (Pont de Guilly) showing the colonization of the mudflat by Gracilaria vermiculophylla between 1952 and 2024.</w:t>
            </w:r>
          </w:p>
          <w:bookmarkEnd w:id="52"/>
        </w:tc>
      </w:tr>
    </w:tbl>
    <w:bookmarkEnd w:id="53"/>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5</w:t>
        </w:r>
      </w:hyperlink>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bookmarkStart w:id="58" w:name="cell-fig-HistoricalPlot"/>
    <w:tbl>
      <w:tblPr>
        <w:tblStyle w:val="Table"/>
        <w:tblW w:type="pct" w:w="5000"/>
        <w:tblLayout w:type="fixed"/>
        <w:tblLook w:firstRow="0" w:lastRow="0" w:firstColumn="0" w:lastColumn="0" w:noHBand="0" w:noVBand="0" w:val="0000"/>
      </w:tblPr>
      <w:tblGrid>
        <w:gridCol w:w="7920"/>
      </w:tblGrid>
      <w:tr>
        <w:tc>
          <w:tcPr/>
          <w:bookmarkStart w:id="57" w:name="fig-HistoricalPlot"/>
          <w:p>
            <w:pPr>
              <w:pStyle w:val="Compact"/>
              <w:jc w:val="center"/>
            </w:pPr>
            <w:r>
              <w:drawing>
                <wp:inline>
                  <wp:extent cx="5646420" cy="3387852"/>
                  <wp:effectExtent b="0" l="0" r="0" t="0"/>
                  <wp:docPr descr="" title="" id="55" name="Picture"/>
                  <a:graphic>
                    <a:graphicData uri="http://schemas.openxmlformats.org/drawingml/2006/picture">
                      <pic:pic>
                        <pic:nvPicPr>
                          <pic:cNvPr descr="./Figures/Low_res/Cover_Gracillaria_vs_Time.png" id="56" name="Picture"/>
                          <pic:cNvPicPr>
                            <a:picLocks noChangeArrowheads="1" noChangeAspect="1"/>
                          </pic:cNvPicPr>
                        </pic:nvPicPr>
                        <pic:blipFill>
                          <a:blip r:embed="rId5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Trend of the Gracilaria vermiculophylla cover in the Belon Estuary (at Pont du Guilly). The red vertical line indicates the date of Crassostrea gigas introduction in South Brittany</w:t>
            </w:r>
            <w:r>
              <w:t xml:space="preserve"> </w:t>
            </w:r>
            <w:r>
              <w:t xml:space="preserve">(Grizel and Heral, 1991)</w:t>
            </w:r>
            <w:r>
              <w:t xml:space="preserve">, while the golden line represents the date of the first documented mention of Gracilaria vermiculophylla presence in Europe which was in the Belon Esturay</w:t>
            </w:r>
            <w:r>
              <w:t xml:space="preserve"> </w:t>
            </w:r>
            <w:r>
              <w:t xml:space="preserve">(Rueness, 2005)</w:t>
            </w:r>
            <w:r>
              <w:t xml:space="preserve">.</w:t>
            </w:r>
          </w:p>
          <w:bookmarkEnd w:id="57"/>
        </w:tc>
      </w:tr>
    </w:tbl>
    <w:bookmarkEnd w:id="58"/>
    <w:bookmarkEnd w:id="59"/>
    <w:bookmarkStart w:id="65" w:name="spectral-description"/>
    <w:p>
      <w:pPr>
        <w:pStyle w:val="Heading2"/>
      </w:pPr>
      <w:r>
        <w:t xml:space="preserve">4.2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6</w:t>
        </w:r>
      </w:hyperlink>
      <w:r>
        <w:t xml:space="preserve"> </w:t>
      </w:r>
      <w:r>
        <w:t xml:space="preserve">B).</w:t>
      </w:r>
    </w:p>
    <w:bookmarkStart w:id="64" w:name="cell-fig-SpecDescri"/>
    <w:tbl>
      <w:tblPr>
        <w:tblStyle w:val="Table"/>
        <w:tblW w:type="pct" w:w="5000"/>
        <w:tblLayout w:type="fixed"/>
        <w:tblLook w:firstRow="0" w:lastRow="0" w:firstColumn="0" w:lastColumn="0" w:noHBand="0" w:noVBand="0" w:val="0000"/>
      </w:tblPr>
      <w:tblGrid>
        <w:gridCol w:w="7920"/>
      </w:tblGrid>
      <w:tr>
        <w:tc>
          <w:tcPr/>
          <w:bookmarkStart w:id="63" w:name="fig-SpecDescri"/>
          <w:p>
            <w:pPr>
              <w:pStyle w:val="Compact"/>
              <w:jc w:val="center"/>
            </w:pPr>
            <w:r>
              <w:drawing>
                <wp:inline>
                  <wp:extent cx="5646420" cy="2823210"/>
                  <wp:effectExtent b="0" l="0" r="0" t="0"/>
                  <wp:docPr descr="" title="" id="61" name="Picture"/>
                  <a:graphic>
                    <a:graphicData uri="http://schemas.openxmlformats.org/drawingml/2006/picture">
                      <pic:pic>
                        <pic:nvPicPr>
                          <pic:cNvPr descr="./Figures/Low_res/plot_spectral_signature.png" id="62" name="Picture"/>
                          <pic:cNvPicPr>
                            <a:picLocks noChangeArrowheads="1" noChangeAspect="1"/>
                          </pic:cNvPicPr>
                        </pic:nvPicPr>
                        <pic:blipFill>
                          <a:blip r:embed="rId6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63"/>
        </w:tc>
      </w:tr>
    </w:tbl>
    <w:bookmarkEnd w:id="64"/>
    <w:bookmarkEnd w:id="65"/>
    <w:bookmarkStart w:id="76" w:name="spatial-distribution"/>
    <w:p>
      <w:pPr>
        <w:pStyle w:val="Heading2"/>
      </w:pPr>
      <w:r>
        <w:t xml:space="preserve">4.3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7</w:t>
        </w:r>
      </w:hyperlink>
      <w:r>
        <w:t xml:space="preserve"> </w:t>
      </w:r>
      <w:r>
        <w:t xml:space="preserve">A). Among the main classes of the intertidal vegetation, the class fo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7.4</w:t>
        </w:r>
      </w:hyperlink>
      <w:r>
        <w:t xml:space="preserve">).</w:t>
      </w:r>
    </w:p>
    <w:p>
      <w:pPr>
        <w:pStyle w:val="BodyText"/>
      </w:pPr>
      <w:r>
        <w:t xml:space="preserve">Across the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7</w:t>
        </w:r>
      </w:hyperlink>
      <w:r>
        <w:t xml:space="preserve"> </w:t>
      </w:r>
      <w:r>
        <w:t xml:space="preserve">D). Angled surfaces (10° &lt; Slope &lt; 40°) often found next to tidal channels were exibiting almost no vegetation cover.</w:t>
      </w:r>
    </w:p>
    <w:bookmarkStart w:id="70" w:name="cell-fig-Belon"/>
    <w:tbl>
      <w:tblPr>
        <w:tblStyle w:val="Table"/>
        <w:tblW w:type="pct" w:w="5000"/>
        <w:tblLayout w:type="fixed"/>
        <w:tblLook w:firstRow="0" w:lastRow="0" w:firstColumn="0" w:lastColumn="0" w:noHBand="0" w:noVBand="0" w:val="0000"/>
      </w:tblPr>
      <w:tblGrid>
        <w:gridCol w:w="7920"/>
      </w:tblGrid>
      <w:tr>
        <w:tc>
          <w:tcPr/>
          <w:bookmarkStart w:id="69" w:name="fig-Belon"/>
          <w:p>
            <w:pPr>
              <w:pStyle w:val="Compact"/>
              <w:jc w:val="center"/>
            </w:pPr>
            <w:r>
              <w:drawing>
                <wp:inline>
                  <wp:extent cx="5173941" cy="9189949"/>
                  <wp:effectExtent b="0" l="0" r="0" t="0"/>
                  <wp:docPr descr="" title="" id="67" name="Picture"/>
                  <a:graphic>
                    <a:graphicData uri="http://schemas.openxmlformats.org/drawingml/2006/picture">
                      <pic:pic>
                        <pic:nvPicPr>
                          <pic:cNvPr descr="./Figures/Low_res/Belon_maps.png" id="68" name="Picture"/>
                          <pic:cNvPicPr>
                            <a:picLocks noChangeArrowheads="1" noChangeAspect="1"/>
                          </pic:cNvPicPr>
                        </pic:nvPicPr>
                        <pic:blipFill>
                          <a:blip r:embed="rId66"/>
                          <a:stretch>
                            <a:fillRect/>
                          </a:stretch>
                        </pic:blipFill>
                        <pic:spPr bwMode="auto">
                          <a:xfrm>
                            <a:off x="0" y="0"/>
                            <a:ext cx="5173941" cy="91899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corrsponds to the height above mean sea level.</w:t>
            </w:r>
          </w:p>
          <w:bookmarkEnd w:id="69"/>
        </w:tc>
      </w:tr>
    </w:tbl>
    <w:bookmarkEnd w:id="70"/>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8</w:t>
        </w:r>
      </w:hyperlink>
      <w:r>
        <w:t xml:space="preserve">). This demonstrates that slope modifies the relationship, with flatter slopes supporting a greater percent cover of the algae.</w:t>
      </w:r>
    </w:p>
    <w:bookmarkStart w:id="75" w:name="cell-fig-Gam_Slope"/>
    <w:tbl>
      <w:tblPr>
        <w:tblStyle w:val="Table"/>
        <w:tblW w:type="pct" w:w="5000"/>
        <w:tblLayout w:type="fixed"/>
        <w:tblLook w:firstRow="0" w:lastRow="0" w:firstColumn="0" w:lastColumn="0" w:noHBand="0" w:noVBand="0" w:val="0000"/>
      </w:tblPr>
      <w:tblGrid>
        <w:gridCol w:w="7920"/>
      </w:tblGrid>
      <w:tr>
        <w:tc>
          <w:tcPr/>
          <w:bookmarkStart w:id="74" w:name="fig-Gam_Slope"/>
          <w:p>
            <w:pPr>
              <w:pStyle w:val="Compact"/>
              <w:jc w:val="center"/>
            </w:pPr>
            <w:r>
              <w:drawing>
                <wp:inline>
                  <wp:extent cx="5646420" cy="2823210"/>
                  <wp:effectExtent b="0" l="0" r="0" t="0"/>
                  <wp:docPr descr="" title="" id="72" name="Picture"/>
                  <a:graphic>
                    <a:graphicData uri="http://schemas.openxmlformats.org/drawingml/2006/picture">
                      <pic:pic>
                        <pic:nvPicPr>
                          <pic:cNvPr descr="./Figures/Low_res/GAM_slope_cover.png" id="73" name="Picture"/>
                          <pic:cNvPicPr>
                            <a:picLocks noChangeArrowheads="1" noChangeAspect="1"/>
                          </pic:cNvPicPr>
                        </pic:nvPicPr>
                        <pic:blipFill>
                          <a:blip r:embed="rId7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DISCOV Prediction (A), RGB composition (B) and Bathymetry (C) of the Bélon estuary site in Brttany, France. The total extent of this flight was 21 hectars with a resolution of 8 mm per pixel. Bathymetry is represented as the height above mean sea level.</w:t>
            </w:r>
          </w:p>
          <w:bookmarkEnd w:id="74"/>
        </w:tc>
      </w:tr>
    </w:tbl>
    <w:bookmarkEnd w:id="75"/>
    <w:bookmarkEnd w:id="76"/>
    <w:bookmarkEnd w:id="77"/>
    <w:bookmarkStart w:id="81" w:name="discussion"/>
    <w:p>
      <w:pPr>
        <w:pStyle w:val="Heading1"/>
      </w:pPr>
      <w:r>
        <w:t xml:space="preserve">5. Discussion</w:t>
      </w:r>
    </w:p>
    <w:bookmarkStart w:id="78"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78"/>
    <w:bookmarkStart w:id="79"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that provide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observation aligns with the findings illustrated in</w:t>
      </w:r>
      <w:r>
        <w:t xml:space="preserve"> </w:t>
      </w:r>
      <w:hyperlink w:anchor="fig-HistoricalMap">
        <w:r>
          <w:rPr>
            <w:rStyle w:val="Hyperlink"/>
          </w:rPr>
          <w:t xml:space="preserve">Figure 4</w:t>
        </w:r>
      </w:hyperlink>
      <w:r>
        <w:t xml:space="preserve">, which show that one of the first areas colonized by</w:t>
      </w:r>
      <w:r>
        <w:t xml:space="preserve"> </w:t>
      </w:r>
      <w:r>
        <w:rPr>
          <w:i/>
          <w:iCs/>
        </w:rPr>
        <w:t xml:space="preserve">G. vermiculophylla</w:t>
      </w:r>
      <w:r>
        <w:t xml:space="preserve"> </w:t>
      </w:r>
      <w:r>
        <w:t xml:space="preserve">in 1992 in the Bélon estuary, France, was located near a patch of salt marsh.</w:t>
      </w:r>
      <w:r>
        <w:br/>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slope steepness and the density of</w:t>
      </w:r>
      <w:r>
        <w:t xml:space="preserve"> </w:t>
      </w:r>
      <w:r>
        <w:rPr>
          <w:i/>
          <w:iCs/>
        </w:rPr>
        <w:t xml:space="preserve">G. vermiculophylla</w:t>
      </w:r>
      <w:r>
        <w:t xml:space="preserve"> </w:t>
      </w:r>
      <w:r>
        <w:t xml:space="preserve">can be explained by the physical and ecological characteristics of steeper mudflat areas. Steeper slopes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slopes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Additionally, these conditions may favor the formation of dense algal mats, which further stabilize the sediment and promote growth.</w:t>
      </w:r>
    </w:p>
    <w:bookmarkEnd w:id="79"/>
    <w:bookmarkStart w:id="80" w:name="X6cb239c59e92d8bbe9461620723a56cdb07af39"/>
    <w:p>
      <w:pPr>
        <w:pStyle w:val="Heading2"/>
      </w:pPr>
      <w:r>
        <w:t xml:space="preserve">5.3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w:t>
      </w:r>
      <w:r>
        <w:t xml:space="preserve"> </w:t>
      </w:r>
      <w:hyperlink w:anchor="fig-HistoricalMap">
        <w:r>
          <w:rPr>
            <w:rStyle w:val="Hyperlink"/>
          </w:rPr>
          <w:t xml:space="preserve">Figure 4</w:t>
        </w:r>
      </w:hyperlink>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
        <w:r>
          <w:rPr>
            <w:rStyle w:val="Hyperlink"/>
          </w:rPr>
          <w:t xml:space="preserve">Figure 4</w:t>
        </w:r>
      </w:hyperlink>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80"/>
    <w:bookmarkEnd w:id="81"/>
    <w:bookmarkStart w:id="82" w:name="conclusion"/>
    <w:p>
      <w:pPr>
        <w:pStyle w:val="Heading1"/>
      </w:pPr>
      <w:r>
        <w:t xml:space="preserve">6. Conclusion</w:t>
      </w:r>
    </w:p>
    <w:p>
      <w:pPr>
        <w:pStyle w:val="FirstParagraph"/>
      </w:pPr>
      <w:r>
        <w:t xml:space="preserve">In this study, we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Bélon Estuary approximately 20 years before its first scientific description, emphasizing the value of retrospective mapping.</w:t>
      </w:r>
    </w:p>
    <w:p>
      <w:pPr>
        <w:pStyle w:val="BodyText"/>
      </w:pPr>
      <w:r>
        <w:t xml:space="preserve">The historical analysis of aerial imagery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 The remarkable physiological plasticity of</w:t>
      </w:r>
      <w:r>
        <w:t xml:space="preserve"> </w:t>
      </w:r>
      <w:r>
        <w:rPr>
          <w:i/>
          <w:iCs/>
        </w:rPr>
        <w:t xml:space="preserve">G. vermiculophylla</w:t>
      </w:r>
      <w:r>
        <w:t xml:space="preserve">, enabling it to thrive in diverse environmental conditions, further underscores its adaptability and invasive potential. However, its reliance on sediment stability and vulnerability to hydrodynamic forces delineate its preferred habitats within intertidal zones.</w:t>
      </w:r>
    </w:p>
    <w:p>
      <w:pPr>
        <w:pStyle w:val="BodyText"/>
      </w:pP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82"/>
    <w:bookmarkStart w:id="95" w:name="annexes"/>
    <w:p>
      <w:pPr>
        <w:pStyle w:val="Heading1"/>
      </w:pPr>
      <w:r>
        <w:t xml:space="preserve">7. Annexes</w:t>
      </w:r>
    </w:p>
    <w:bookmarkStart w:id="84" w:name="sec-AnnexeA"/>
    <w:p>
      <w:pPr>
        <w:pStyle w:val="Heading2"/>
      </w:pPr>
      <w:r>
        <w:t xml:space="preserve">7.1 Annexes A - Updated training dataset</w:t>
      </w:r>
    </w:p>
    <w:tbl>
      <w:tblPr>
        <w:tblStyle w:val="Table"/>
        <w:tblW w:type="pct" w:w="5000"/>
        <w:tblLayout w:type="fixed"/>
        <w:tblLook w:firstRow="0" w:lastRow="0" w:firstColumn="0" w:lastColumn="0" w:noHBand="0" w:noVBand="0" w:val="0000"/>
      </w:tblPr>
      <w:tblGrid>
        <w:gridCol w:w="7920"/>
      </w:tblGrid>
      <w:tr>
        <w:tc>
          <w:tcPr/>
          <w:bookmarkStart w:id="83" w:name="tbl-Update_training"/>
          <w:p>
            <w:pPr>
              <w:jc w:val="center"/>
            </w:pPr>
            <w:pPr>
              <w:jc w:val="start"/>
              <w:spacing w:before="200"/>
              <w:pStyle w:val="ImageCaption"/>
            </w:pPr>
            <w:r>
              <w:t xml:space="preserve">Table 1: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83"/>
        </w:tc>
      </w:tr>
    </w:tbl>
    <w:p>
      <w:r>
        <w:br w:type="page"/>
      </w:r>
    </w:p>
    <w:bookmarkEnd w:id="84"/>
    <w:bookmarkStart w:id="86" w:name="sec-AnnexeB"/>
    <w:p>
      <w:pPr>
        <w:pStyle w:val="Heading2"/>
      </w:pPr>
      <w:r>
        <w:t xml:space="preserve">7.2 Annexes B - Validation dataset</w:t>
      </w:r>
    </w:p>
    <w:tbl>
      <w:tblPr>
        <w:tblStyle w:val="Table"/>
        <w:tblW w:type="pct" w:w="5000"/>
        <w:tblLayout w:type="fixed"/>
        <w:tblLook w:firstRow="0" w:lastRow="0" w:firstColumn="0" w:lastColumn="0" w:noHBand="0" w:noVBand="0" w:val="0000"/>
      </w:tblPr>
      <w:tblGrid>
        <w:gridCol w:w="7920"/>
      </w:tblGrid>
      <w:tr>
        <w:tc>
          <w:tcPr/>
          <w:bookmarkStart w:id="85" w:name="tbl-ValidationDataset"/>
          <w:p>
            <w:pPr>
              <w:jc w:val="center"/>
            </w:pPr>
            <w:pPr>
              <w:jc w:val="start"/>
              <w:spacing w:before="200"/>
              <w:pStyle w:val="ImageCaption"/>
            </w:pPr>
            <w:r>
              <w:t xml:space="preserve">Table 2: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85"/>
        </w:tc>
      </w:tr>
    </w:tbl>
    <w:p>
      <w:r>
        <w:br w:type="page"/>
      </w:r>
    </w:p>
    <w:bookmarkEnd w:id="86"/>
    <w:bookmarkStart w:id="88" w:name="sec-AnnexeC"/>
    <w:p>
      <w:pPr>
        <w:pStyle w:val="Heading2"/>
      </w:pPr>
      <w:r>
        <w:t xml:space="preserve">7.3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87" w:name="tbl-IGNimg"/>
          <w:p>
            <w:pPr>
              <w:jc w:val="center"/>
            </w:pPr>
            <w:pPr>
              <w:jc w:val="start"/>
              <w:spacing w:before="200"/>
              <w:pStyle w:val="ImageCaption"/>
            </w:pPr>
            <w:r>
              <w:t xml:space="preserve">Table 3: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87"/>
        </w:tc>
      </w:tr>
    </w:tbl>
    <w:p>
      <w:r>
        <w:br w:type="page"/>
      </w:r>
    </w:p>
    <w:bookmarkEnd w:id="88"/>
    <w:bookmarkStart w:id="94" w:name="sec-AnnexeD"/>
    <w:p>
      <w:pPr>
        <w:pStyle w:val="Heading2"/>
      </w:pPr>
      <w:r>
        <w:t xml:space="preserve">7.4 Annexes D - Maps of the Saja esturay, Spain</w:t>
      </w:r>
    </w:p>
    <w:bookmarkStart w:id="93" w:name="cell-fig-Saja"/>
    <w:tbl>
      <w:tblPr>
        <w:tblStyle w:val="Table"/>
        <w:tblW w:type="pct" w:w="5000"/>
        <w:tblLayout w:type="fixed"/>
        <w:tblLook w:firstRow="0" w:lastRow="0" w:firstColumn="0" w:lastColumn="0" w:noHBand="0" w:noVBand="0" w:val="0000"/>
      </w:tblPr>
      <w:tblGrid>
        <w:gridCol w:w="7920"/>
      </w:tblGrid>
      <w:tr>
        <w:tc>
          <w:tcPr/>
          <w:bookmarkStart w:id="92" w:name="fig-Saja"/>
          <w:p>
            <w:pPr>
              <w:pStyle w:val="Compact"/>
              <w:jc w:val="center"/>
            </w:pPr>
            <w:r>
              <w:drawing>
                <wp:inline>
                  <wp:extent cx="5646420" cy="3856504"/>
                  <wp:effectExtent b="0" l="0" r="0" t="0"/>
                  <wp:docPr descr="" title="" id="90" name="Picture"/>
                  <a:graphic>
                    <a:graphicData uri="http://schemas.openxmlformats.org/drawingml/2006/picture">
                      <pic:pic>
                        <pic:nvPicPr>
                          <pic:cNvPr descr="./Figures/Low_res/Saja_maps.png" id="91" name="Picture"/>
                          <pic:cNvPicPr>
                            <a:picLocks noChangeArrowheads="1" noChangeAspect="1"/>
                          </pic:cNvPicPr>
                        </pic:nvPicPr>
                        <pic:blipFill>
                          <a:blip r:embed="rId89"/>
                          <a:stretch>
                            <a:fillRect/>
                          </a:stretch>
                        </pic:blipFill>
                        <pic:spPr bwMode="auto">
                          <a:xfrm>
                            <a:off x="0" y="0"/>
                            <a:ext cx="5646420" cy="38565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DISCOV Prediction (A), RGB composition (B) and picture of the field campaign of the Saja esturay, Nothern Spain. The total extent of this flight was 20.4 hectars with a resolution of 8 mm per pixel.</w:t>
            </w:r>
          </w:p>
          <w:bookmarkEnd w:id="92"/>
        </w:tc>
      </w:tr>
    </w:tbl>
    <w:bookmarkEnd w:id="93"/>
    <w:p>
      <w:r>
        <w:br w:type="page"/>
      </w:r>
    </w:p>
    <w:bookmarkEnd w:id="94"/>
    <w:bookmarkEnd w:id="95"/>
    <w:bookmarkStart w:id="189" w:name="references"/>
    <w:p>
      <w:pPr>
        <w:pStyle w:val="Heading1"/>
      </w:pPr>
      <w:r>
        <w:t xml:space="preserve">8. References</w:t>
      </w:r>
    </w:p>
    <w:bookmarkStart w:id="188" w:name="refs"/>
    <w:bookmarkStart w:id="96"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96"/>
    <w:bookmarkStart w:id="98" w:name="ref-agisoft"/>
    <w:p>
      <w:pPr>
        <w:pStyle w:val="Bibliography"/>
      </w:pPr>
      <w:r>
        <w:t xml:space="preserve">Agisoft, 2019.</w:t>
      </w:r>
      <w:r>
        <w:t xml:space="preserve"> </w:t>
      </w:r>
      <w:hyperlink r:id="rId97">
        <w:r>
          <w:rPr>
            <w:rStyle w:val="Hyperlink"/>
          </w:rPr>
          <w:t xml:space="preserve">Agisoft metashape</w:t>
        </w:r>
      </w:hyperlink>
      <w:r>
        <w:t xml:space="preserve">.</w:t>
      </w:r>
    </w:p>
    <w:bookmarkEnd w:id="98"/>
    <w:bookmarkStart w:id="99" w:name="ref-arim2006spread"/>
    <w:p>
      <w:pPr>
        <w:pStyle w:val="Bibliography"/>
      </w:pPr>
      <w:r>
        <w:t xml:space="preserve">Arim, M., Abades, S.R., Neill, P.E., Lima, M., Marquet, P.A., 2006. Spread dynamics of invasive species. Proceedings of the National Academy of Sciences 103, 374–378.</w:t>
      </w:r>
    </w:p>
    <w:bookmarkEnd w:id="99"/>
    <w:bookmarkStart w:id="100" w:name="ref-bendor2006spatial"/>
    <w:p>
      <w:pPr>
        <w:pStyle w:val="Bibliography"/>
      </w:pPr>
      <w:r>
        <w:t xml:space="preserve">BenDor, T.K., Metcalf, S.S., 2006. The spatial dynamics of invasive species spread. System Dynamics Review: The Journal of the System Dynamics Society 22, 27–50.</w:t>
      </w:r>
    </w:p>
    <w:bookmarkEnd w:id="100"/>
    <w:bookmarkStart w:id="101"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101"/>
    <w:bookmarkStart w:id="103"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102">
        <w:r>
          <w:rPr>
            <w:rStyle w:val="Hyperlink"/>
          </w:rPr>
          <w:t xml:space="preserve">https://doi.org/10.1016/j.seares.2014.02.014</w:t>
        </w:r>
      </w:hyperlink>
    </w:p>
    <w:bookmarkEnd w:id="103"/>
    <w:bookmarkStart w:id="104"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104"/>
    <w:bookmarkStart w:id="106"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105">
        <w:r>
          <w:rPr>
            <w:rStyle w:val="Hyperlink"/>
          </w:rPr>
          <w:t xml:space="preserve">https://doi.org/10.18637/jss.v100.i05</w:t>
        </w:r>
      </w:hyperlink>
    </w:p>
    <w:bookmarkEnd w:id="106"/>
    <w:bookmarkStart w:id="108"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107">
        <w:r>
          <w:rPr>
            <w:rStyle w:val="Hyperlink"/>
          </w:rPr>
          <w:t xml:space="preserve">https://doi.org/10.32614/RJ-2018-017</w:t>
        </w:r>
      </w:hyperlink>
    </w:p>
    <w:bookmarkEnd w:id="108"/>
    <w:bookmarkStart w:id="110"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109">
        <w:r>
          <w:rPr>
            <w:rStyle w:val="Hyperlink"/>
          </w:rPr>
          <w:t xml:space="preserve">https://doi.org/10.18637/jss.v080.i01</w:t>
        </w:r>
      </w:hyperlink>
    </w:p>
    <w:bookmarkEnd w:id="110"/>
    <w:bookmarkStart w:id="111"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111"/>
    <w:bookmarkStart w:id="113" w:name="ref-Castaing1995"/>
    <w:p>
      <w:pPr>
        <w:pStyle w:val="Bibliography"/>
      </w:pPr>
      <w:r>
        <w:t xml:space="preserve">Castaing, P., Guilcher, A., 1995. Morphosedimentary evolution of ria-type estuaries. Earth Surface Processes and Landforms 20, 361–376.</w:t>
      </w:r>
      <w:r>
        <w:t xml:space="preserve"> </w:t>
      </w:r>
      <w:hyperlink r:id="rId112">
        <w:r>
          <w:rPr>
            <w:rStyle w:val="Hyperlink"/>
          </w:rPr>
          <w:t xml:space="preserve">https://doi.org/10.1002/esp.3290200408</w:t>
        </w:r>
      </w:hyperlink>
    </w:p>
    <w:bookmarkEnd w:id="113"/>
    <w:bookmarkStart w:id="114"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114"/>
    <w:bookmarkStart w:id="115"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115"/>
    <w:bookmarkStart w:id="117" w:name="ref-shinypck"/>
    <w:p>
      <w:pPr>
        <w:pStyle w:val="Bibliography"/>
      </w:pPr>
      <w:r>
        <w:t xml:space="preserve">Chang, W., Cheng, J., Allaire, J., Sievert, C., Schloerke, B., Xie, Y., Allen, J., McPherson, J., Dipert, A., Borges, B., 2024.</w:t>
      </w:r>
      <w:r>
        <w:t xml:space="preserve"> </w:t>
      </w:r>
      <w:hyperlink r:id="rId116">
        <w:r>
          <w:rPr>
            <w:rStyle w:val="Hyperlink"/>
          </w:rPr>
          <w:t xml:space="preserve">Shiny: Web application framework for r</w:t>
        </w:r>
      </w:hyperlink>
      <w:r>
        <w:t xml:space="preserve">.</w:t>
      </w:r>
    </w:p>
    <w:bookmarkEnd w:id="117"/>
    <w:bookmarkStart w:id="118"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118"/>
    <w:bookmarkStart w:id="119"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119"/>
    <w:bookmarkStart w:id="120"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20"/>
    <w:bookmarkStart w:id="121"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21"/>
    <w:bookmarkStart w:id="122"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22"/>
    <w:bookmarkStart w:id="124"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23">
        <w:r>
          <w:rPr>
            <w:rStyle w:val="Hyperlink"/>
          </w:rPr>
          <w:t xml:space="preserve">https://doi.org/10.3390/rs14133124</w:t>
        </w:r>
      </w:hyperlink>
    </w:p>
    <w:bookmarkEnd w:id="124"/>
    <w:bookmarkStart w:id="126" w:name="ref-rs14020346"/>
    <w:p>
      <w:pPr>
        <w:pStyle w:val="Bibliography"/>
      </w:pPr>
      <w:r>
        <w:t xml:space="preserve">Douay, F., Verpoorter, C., Duong, G., Spilmont, N., Gevaert, F., 2022. New hyperspectral procedure to discriminate intertidal macroalgae. Remote Sensing 14.</w:t>
      </w:r>
      <w:r>
        <w:t xml:space="preserve"> </w:t>
      </w:r>
      <w:hyperlink r:id="rId125">
        <w:r>
          <w:rPr>
            <w:rStyle w:val="Hyperlink"/>
          </w:rPr>
          <w:t xml:space="preserve">https://doi.org/10.3390/rs14020346</w:t>
        </w:r>
      </w:hyperlink>
    </w:p>
    <w:bookmarkEnd w:id="126"/>
    <w:bookmarkStart w:id="12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27"/>
    <w:bookmarkStart w:id="128"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28"/>
    <w:bookmarkStart w:id="129" w:name="ref-elton2020ecology"/>
    <w:p>
      <w:pPr>
        <w:pStyle w:val="Bibliography"/>
      </w:pPr>
      <w:r>
        <w:t xml:space="preserve">Elton, C.S., 2020. The ecology of invasions by animals and plants. Springer Nature.</w:t>
      </w:r>
    </w:p>
    <w:bookmarkEnd w:id="129"/>
    <w:bookmarkStart w:id="130" w:name="ref-firth2024invasive"/>
    <w:p>
      <w:pPr>
        <w:pStyle w:val="Bibliography"/>
      </w:pPr>
      <w:r>
        <w:t xml:space="preserve">Firth, L.B., Foggo, A., Watts, T., Knights, A.M., DeAmicis, S., 2024. Invasive macroalgae in native seagrass beds: Vectors of spread and impacts. Annals of Botany 133, 41–50.</w:t>
      </w:r>
    </w:p>
    <w:bookmarkEnd w:id="130"/>
    <w:bookmarkStart w:id="131" w:name="ref-gallardo2016global"/>
    <w:p>
      <w:pPr>
        <w:pStyle w:val="Bibliography"/>
      </w:pPr>
      <w:r>
        <w:t xml:space="preserve">Gallardo, B., Clavero, M., Sánchez, M.I., Vilà, M., 2016. Global ecological impacts of invasive species in aquatic ecosystems. Global change biology 22, 151–163.</w:t>
      </w:r>
    </w:p>
    <w:bookmarkEnd w:id="131"/>
    <w:bookmarkStart w:id="132"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32"/>
    <w:bookmarkStart w:id="133" w:name="ref-green2021functional"/>
    <w:p>
      <w:pPr>
        <w:pStyle w:val="Bibliography"/>
      </w:pPr>
      <w:r>
        <w:t xml:space="preserve">Green, S.J., Grosholz, E.D., 2021. Functional eradication as a framework for invasive species control. Frontiers in Ecology and the Environment 19, 98–107.</w:t>
      </w:r>
    </w:p>
    <w:bookmarkEnd w:id="133"/>
    <w:bookmarkStart w:id="134" w:name="ref-grizel1991introduction"/>
    <w:p>
      <w:pPr>
        <w:pStyle w:val="Bibliography"/>
      </w:pPr>
      <w:r>
        <w:t xml:space="preserve">Grizel, H., Heral, M., 1991. Introduction into france of the japanese oyster (crassostrea gigas). ICES Journal of Marine Science 47, 399–403.</w:t>
      </w:r>
    </w:p>
    <w:bookmarkEnd w:id="134"/>
    <w:bookmarkStart w:id="135"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35"/>
    <w:bookmarkStart w:id="137" w:name="ref-terrapck"/>
    <w:p>
      <w:pPr>
        <w:pStyle w:val="Bibliography"/>
      </w:pPr>
      <w:r>
        <w:t xml:space="preserve">Hijmans, R.J., 2024.</w:t>
      </w:r>
      <w:r>
        <w:t xml:space="preserve"> </w:t>
      </w:r>
      <w:hyperlink r:id="rId136">
        <w:r>
          <w:rPr>
            <w:rStyle w:val="Hyperlink"/>
          </w:rPr>
          <w:t xml:space="preserve">Terra: Spatial data analysis</w:t>
        </w:r>
      </w:hyperlink>
      <w:r>
        <w:t xml:space="preserve">.</w:t>
      </w:r>
    </w:p>
    <w:bookmarkEnd w:id="137"/>
    <w:bookmarkStart w:id="138" w:name="ref-RemonterLeTempsIGN"/>
    <w:p>
      <w:pPr>
        <w:pStyle w:val="Bibliography"/>
      </w:pPr>
      <w:r>
        <w:t xml:space="preserve">IGN, 2024. Remonter le temps.</w:t>
      </w:r>
    </w:p>
    <w:bookmarkEnd w:id="138"/>
    <w:bookmarkStart w:id="139"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139"/>
    <w:bookmarkStart w:id="140"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40"/>
    <w:bookmarkStart w:id="142"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41">
        <w:r>
          <w:rPr>
            <w:rStyle w:val="Hyperlink"/>
          </w:rPr>
          <w:t xml:space="preserve">https://doi.org/10.3390/d15020161</w:t>
        </w:r>
      </w:hyperlink>
    </w:p>
    <w:bookmarkEnd w:id="142"/>
    <w:bookmarkStart w:id="144"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43">
        <w:r>
          <w:rPr>
            <w:rStyle w:val="Hyperlink"/>
          </w:rPr>
          <w:t xml:space="preserve">https://doi.org/10.3390/rs11060704</w:t>
        </w:r>
      </w:hyperlink>
    </w:p>
    <w:bookmarkEnd w:id="144"/>
    <w:bookmarkStart w:id="146"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45">
        <w:r>
          <w:rPr>
            <w:rStyle w:val="Hyperlink"/>
          </w:rPr>
          <w:t xml:space="preserve">https://doi.org/10.3390/jmse11020367</w:t>
        </w:r>
      </w:hyperlink>
    </w:p>
    <w:bookmarkEnd w:id="146"/>
    <w:bookmarkStart w:id="148"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47">
        <w:r>
          <w:rPr>
            <w:rStyle w:val="Hyperlink"/>
          </w:rPr>
          <w:t xml:space="preserve">https://doi.org/10.1080/17445647.2021.1925170</w:t>
        </w:r>
      </w:hyperlink>
    </w:p>
    <w:bookmarkEnd w:id="148"/>
    <w:bookmarkStart w:id="149"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149"/>
    <w:bookmarkStart w:id="150"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50"/>
    <w:bookmarkStart w:id="151" w:name="ref-nyberg2007introduced"/>
    <w:p>
      <w:pPr>
        <w:pStyle w:val="Bibliography"/>
      </w:pPr>
      <w:r>
        <w:t xml:space="preserve">Nyberg, C.D., 2007. Introduced marine macroalgae and habitat modifiers: Their ecological role and significant attributes. Department of Marine Ecology.</w:t>
      </w:r>
    </w:p>
    <w:bookmarkEnd w:id="151"/>
    <w:bookmarkStart w:id="152" w:name="ref-nyberg2009flora"/>
    <w:p>
      <w:pPr>
        <w:pStyle w:val="Bibliography"/>
      </w:pPr>
      <w:r>
        <w:t xml:space="preserve">Nyberg, C.D., Thomsen, M.S., Wallentinus, I., 2009. Flora and fauna associated with the introduced red alga gracilaria vermiculophylla. European Journal of Phycology 44, 395–403.</w:t>
      </w:r>
    </w:p>
    <w:bookmarkEnd w:id="152"/>
    <w:bookmarkStart w:id="153"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53"/>
    <w:bookmarkStart w:id="155" w:name="ref-rs16234383"/>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154">
        <w:r>
          <w:rPr>
            <w:rStyle w:val="Hyperlink"/>
          </w:rPr>
          <w:t xml:space="preserve">https://doi.org/10.3390/rs16234383</w:t>
        </w:r>
      </w:hyperlink>
    </w:p>
    <w:bookmarkEnd w:id="155"/>
    <w:bookmarkStart w:id="15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56"/>
    <w:bookmarkStart w:id="15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57"/>
    <w:bookmarkStart w:id="159" w:name="ref-WoRMS303450"/>
    <w:p>
      <w:pPr>
        <w:pStyle w:val="Bibliography"/>
      </w:pPr>
      <w:r>
        <w:t xml:space="preserve">Papenfuss, G.F., 1967.</w:t>
      </w:r>
      <w:r>
        <w:t xml:space="preserve"> </w:t>
      </w:r>
      <w:hyperlink r:id="rId158">
        <w:r>
          <w:rPr>
            <w:rStyle w:val="Hyperlink"/>
          </w:rPr>
          <w:t xml:space="preserve">Notes on algal nomenclature - v. Various chlorophyceae and rhodophyceae</w:t>
        </w:r>
      </w:hyperlink>
      <w:r>
        <w:t xml:space="preserve">. Phykos 5, 95–105.</w:t>
      </w:r>
    </w:p>
    <w:bookmarkEnd w:id="159"/>
    <w:bookmarkStart w:id="160"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60"/>
    <w:bookmarkStart w:id="16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61"/>
    <w:bookmarkStart w:id="162"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62"/>
    <w:bookmarkStart w:id="16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63"/>
    <w:bookmarkStart w:id="164" w:name="ref-roman2021using"/>
    <w:p>
      <w:pPr>
        <w:pStyle w:val="Bibliography"/>
      </w:pPr>
      <w:r>
        <w:t xml:space="preserve">Román, A., Tovar-Sánchez, A., Olivé, I., Navarro, G., 2021. Using a UAV-mounted multispectral camera for the monitoring of marine macrophytes. Frontiers in Marine Science 8, 722698.</w:t>
      </w:r>
    </w:p>
    <w:bookmarkEnd w:id="164"/>
    <w:bookmarkStart w:id="165" w:name="ref-romero2008sintering"/>
    <w:p>
      <w:pPr>
        <w:pStyle w:val="Bibliography"/>
      </w:pPr>
      <w:r>
        <w:t xml:space="preserve">Romero, M., Andrés, A., Alonso, R., Viguri, J., Rincón, J.M., 2008. Sintering behaviour of ceramic bodies from contaminated marine sediments. Ceramics International 34, 1917–1924.</w:t>
      </w:r>
    </w:p>
    <w:bookmarkEnd w:id="165"/>
    <w:bookmarkStart w:id="166" w:name="ref-rueness2005life"/>
    <w:p>
      <w:pPr>
        <w:pStyle w:val="Bibliography"/>
      </w:pPr>
      <w:r>
        <w:t xml:space="preserve">Rueness, J., 2005. Life history and molecular sequences of gracilaria vermiculophylla (gracilariales, rhodophyta), a new introduction to european waters. Phycologia 44, 120–128.</w:t>
      </w:r>
    </w:p>
    <w:bookmarkEnd w:id="166"/>
    <w:bookmarkStart w:id="167" w:name="ref-savitzky1964smoothing"/>
    <w:p>
      <w:pPr>
        <w:pStyle w:val="Bibliography"/>
      </w:pPr>
      <w:r>
        <w:t xml:space="preserve">Savitzky, A., Golay, M.J., 1964. Smoothing and differentiation of data by simplified least squares procedures. Analytical chemistry 36, 1627–1639.</w:t>
      </w:r>
    </w:p>
    <w:bookmarkEnd w:id="167"/>
    <w:bookmarkStart w:id="168"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68"/>
    <w:bookmarkStart w:id="169" w:name="ref-simberloff2021maintenance"/>
    <w:p>
      <w:pPr>
        <w:pStyle w:val="Bibliography"/>
      </w:pPr>
      <w:r>
        <w:t xml:space="preserve">Simberloff, D., 2021. Maintenance management and eradication of established aquatic invaders. Hydrobiologia 848, 2399–2420.</w:t>
      </w:r>
    </w:p>
    <w:bookmarkEnd w:id="169"/>
    <w:bookmarkStart w:id="171" w:name="ref-Simon2024ShinyApp"/>
    <w:p>
      <w:pPr>
        <w:pStyle w:val="Bibliography"/>
      </w:pPr>
      <w:r>
        <w:t xml:space="preserve">Simon, O., 2024.</w:t>
      </w:r>
      <w:r>
        <w:t xml:space="preserve"> </w:t>
      </w:r>
      <w:hyperlink r:id="rId170">
        <w:r>
          <w:rPr>
            <w:rStyle w:val="Hyperlink"/>
          </w:rPr>
          <w:t xml:space="preserve">Shiny app for validation dataset building</w:t>
        </w:r>
      </w:hyperlink>
      <w:r>
        <w:t xml:space="preserve">.</w:t>
      </w:r>
    </w:p>
    <w:bookmarkEnd w:id="171"/>
    <w:bookmarkStart w:id="172"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72"/>
    <w:bookmarkStart w:id="17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73"/>
    <w:bookmarkStart w:id="175"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74">
        <w:r>
          <w:rPr>
            <w:rStyle w:val="Hyperlink"/>
          </w:rPr>
          <w:t xml:space="preserve">https://doi.org/10.1007/s11356-011-0479-3</w:t>
        </w:r>
      </w:hyperlink>
    </w:p>
    <w:bookmarkEnd w:id="175"/>
    <w:bookmarkStart w:id="176"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76"/>
    <w:bookmarkStart w:id="177"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177"/>
    <w:bookmarkStart w:id="178"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78"/>
    <w:bookmarkStart w:id="179"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79"/>
    <w:bookmarkStart w:id="180"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80"/>
    <w:bookmarkStart w:id="181"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81"/>
    <w:bookmarkStart w:id="182"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82"/>
    <w:bookmarkStart w:id="183" w:name="ref-williams2007global"/>
    <w:p>
      <w:pPr>
        <w:pStyle w:val="Bibliography"/>
      </w:pPr>
      <w:r>
        <w:t xml:space="preserve">Williams, S.L., Smith, J.E., 2007. A global review of the distribution, taxonomy, and impacts of introduced seaweeds. Annu. Rev. Ecol. Evol. Syst. 38, 327–359.</w:t>
      </w:r>
    </w:p>
    <w:bookmarkEnd w:id="183"/>
    <w:bookmarkStart w:id="185"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84">
        <w:r>
          <w:rPr>
            <w:rStyle w:val="Hyperlink"/>
          </w:rPr>
          <w:t xml:space="preserve">https://doi.org/10.3390/d14121077</w:t>
        </w:r>
      </w:hyperlink>
    </w:p>
    <w:bookmarkEnd w:id="185"/>
    <w:bookmarkStart w:id="186"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86"/>
    <w:bookmarkStart w:id="18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87"/>
    <w:bookmarkEnd w:id="188"/>
    <w:bookmarkEnd w:id="18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71" Target="media/rId71.png" /><Relationship Type="http://schemas.openxmlformats.org/officeDocument/2006/relationships/image" Id="rId49" Target="media/rId49.png" /><Relationship Type="http://schemas.openxmlformats.org/officeDocument/2006/relationships/image" Id="rId89" Target="media/rId89.png" /><Relationship Type="http://schemas.openxmlformats.org/officeDocument/2006/relationships/image" Id="rId60" Target="media/rId60.png" /><Relationship Type="http://schemas.openxmlformats.org/officeDocument/2006/relationships/image" Id="rId23" Target="media/rId23.png" /><Relationship Type="http://schemas.openxmlformats.org/officeDocument/2006/relationships/hyperlink" Id="rId116" Target="https://CRAN.R-project.org/package=shiny" TargetMode="External" /><Relationship Type="http://schemas.openxmlformats.org/officeDocument/2006/relationships/hyperlink" Id="rId136" Target="https://CRAN.R-project.org/package=terra" TargetMode="External" /><Relationship Type="http://schemas.openxmlformats.org/officeDocument/2006/relationships/hyperlink" Id="rId112" Target="https://doi.org/10.1002/esp.3290200408" TargetMode="External" /><Relationship Type="http://schemas.openxmlformats.org/officeDocument/2006/relationships/hyperlink" Id="rId174" Target="https://doi.org/10.1007/s11356-011-0479-3" TargetMode="External" /><Relationship Type="http://schemas.openxmlformats.org/officeDocument/2006/relationships/hyperlink" Id="rId102" Target="https://doi.org/10.1016/j.seares.2014.02.014" TargetMode="External" /><Relationship Type="http://schemas.openxmlformats.org/officeDocument/2006/relationships/hyperlink" Id="rId147" Target="https://doi.org/10.1080/17445647.2021.1925170" TargetMode="External" /><Relationship Type="http://schemas.openxmlformats.org/officeDocument/2006/relationships/hyperlink" Id="rId109" Target="https://doi.org/10.18637/jss.v080.i01" TargetMode="External" /><Relationship Type="http://schemas.openxmlformats.org/officeDocument/2006/relationships/hyperlink" Id="rId105" Target="https://doi.org/10.18637/jss.v100.i05" TargetMode="External" /><Relationship Type="http://schemas.openxmlformats.org/officeDocument/2006/relationships/hyperlink" Id="rId107" Target="https://doi.org/10.32614/RJ-2018-017" TargetMode="External" /><Relationship Type="http://schemas.openxmlformats.org/officeDocument/2006/relationships/hyperlink" Id="rId184" Target="https://doi.org/10.3390/d14121077" TargetMode="External" /><Relationship Type="http://schemas.openxmlformats.org/officeDocument/2006/relationships/hyperlink" Id="rId141" Target="https://doi.org/10.3390/d15020161" TargetMode="External" /><Relationship Type="http://schemas.openxmlformats.org/officeDocument/2006/relationships/hyperlink" Id="rId145" Target="https://doi.org/10.3390/jmse11020367" TargetMode="External" /><Relationship Type="http://schemas.openxmlformats.org/officeDocument/2006/relationships/hyperlink" Id="rId143" Target="https://doi.org/10.3390/rs11060704" TargetMode="External" /><Relationship Type="http://schemas.openxmlformats.org/officeDocument/2006/relationships/hyperlink" Id="rId125" Target="https://doi.org/10.3390/rs14020346" TargetMode="External" /><Relationship Type="http://schemas.openxmlformats.org/officeDocument/2006/relationships/hyperlink" Id="rId123" Target="https://doi.org/10.3390/rs14133124" TargetMode="External" /><Relationship Type="http://schemas.openxmlformats.org/officeDocument/2006/relationships/hyperlink" Id="rId154" Target="https://doi.org/10.3390/rs16234383" TargetMode="External" /><Relationship Type="http://schemas.openxmlformats.org/officeDocument/2006/relationships/hyperlink" Id="rId158" Target="https://marinespecies.org/aphia.php?p=sourcedetails&amp;id=303450" TargetMode="External" /><Relationship Type="http://schemas.openxmlformats.org/officeDocument/2006/relationships/hyperlink" Id="rId170" Target="https://oirysimon.shinyapps.io/shiny_validate/" TargetMode="External" /><Relationship Type="http://schemas.openxmlformats.org/officeDocument/2006/relationships/hyperlink" Id="rId9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116" Target="https://CRAN.R-project.org/package=shiny" TargetMode="External" /><Relationship Type="http://schemas.openxmlformats.org/officeDocument/2006/relationships/hyperlink" Id="rId136" Target="https://CRAN.R-project.org/package=terra" TargetMode="External" /><Relationship Type="http://schemas.openxmlformats.org/officeDocument/2006/relationships/hyperlink" Id="rId112" Target="https://doi.org/10.1002/esp.3290200408" TargetMode="External" /><Relationship Type="http://schemas.openxmlformats.org/officeDocument/2006/relationships/hyperlink" Id="rId174" Target="https://doi.org/10.1007/s11356-011-0479-3" TargetMode="External" /><Relationship Type="http://schemas.openxmlformats.org/officeDocument/2006/relationships/hyperlink" Id="rId102" Target="https://doi.org/10.1016/j.seares.2014.02.014" TargetMode="External" /><Relationship Type="http://schemas.openxmlformats.org/officeDocument/2006/relationships/hyperlink" Id="rId147" Target="https://doi.org/10.1080/17445647.2021.1925170" TargetMode="External" /><Relationship Type="http://schemas.openxmlformats.org/officeDocument/2006/relationships/hyperlink" Id="rId109" Target="https://doi.org/10.18637/jss.v080.i01" TargetMode="External" /><Relationship Type="http://schemas.openxmlformats.org/officeDocument/2006/relationships/hyperlink" Id="rId105" Target="https://doi.org/10.18637/jss.v100.i05" TargetMode="External" /><Relationship Type="http://schemas.openxmlformats.org/officeDocument/2006/relationships/hyperlink" Id="rId107" Target="https://doi.org/10.32614/RJ-2018-017" TargetMode="External" /><Relationship Type="http://schemas.openxmlformats.org/officeDocument/2006/relationships/hyperlink" Id="rId184" Target="https://doi.org/10.3390/d14121077" TargetMode="External" /><Relationship Type="http://schemas.openxmlformats.org/officeDocument/2006/relationships/hyperlink" Id="rId141" Target="https://doi.org/10.3390/d15020161" TargetMode="External" /><Relationship Type="http://schemas.openxmlformats.org/officeDocument/2006/relationships/hyperlink" Id="rId145" Target="https://doi.org/10.3390/jmse11020367" TargetMode="External" /><Relationship Type="http://schemas.openxmlformats.org/officeDocument/2006/relationships/hyperlink" Id="rId143" Target="https://doi.org/10.3390/rs11060704" TargetMode="External" /><Relationship Type="http://schemas.openxmlformats.org/officeDocument/2006/relationships/hyperlink" Id="rId125" Target="https://doi.org/10.3390/rs14020346" TargetMode="External" /><Relationship Type="http://schemas.openxmlformats.org/officeDocument/2006/relationships/hyperlink" Id="rId123" Target="https://doi.org/10.3390/rs14133124" TargetMode="External" /><Relationship Type="http://schemas.openxmlformats.org/officeDocument/2006/relationships/hyperlink" Id="rId154" Target="https://doi.org/10.3390/rs16234383" TargetMode="External" /><Relationship Type="http://schemas.openxmlformats.org/officeDocument/2006/relationships/hyperlink" Id="rId158" Target="https://marinespecies.org/aphia.php?p=sourcedetails&amp;id=303450" TargetMode="External" /><Relationship Type="http://schemas.openxmlformats.org/officeDocument/2006/relationships/hyperlink" Id="rId170" Target="https://oirysimon.shinyapps.io/shiny_validate/" TargetMode="External" /><Relationship Type="http://schemas.openxmlformats.org/officeDocument/2006/relationships/hyperlink" Id="rId9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Monitoring of Gracilaria vermiculophylla: Mapping its Distribution at the Site of its First European Observation</dc:title>
  <dc:creator>Simon Oiry¹; Bede Ffinian Rowe Davies¹; Pierre Gernez¹; Laurent Barillé¹</dc:creator>
  <cp:keywords>Remote Sensing, Invasive species, Coastal Ecosystems, Biodiversity</cp:keywords>
  <dcterms:created xsi:type="dcterms:W3CDTF">2024-12-21T11:15:55Z</dcterms:created>
  <dcterms:modified xsi:type="dcterms:W3CDTF">2024-12-21T11:15:55Z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invasive red macroalga Gracilaria vermiculophylla has significantly impacted intertidal ecosystems in temperate estuaries globally. This study utilized drone-based multispectral remote sensing to map the spatial and temporal distribution of G. vermiculophylla in its first documented European site, the Bélon Estuary, alongside additional sites in Spain and France. By adapting the neural network classification model DISCOV, trained with a comprehensive dataset, we achieved 91.1% accuracy in distinguishing G. vermiculophylla from other macroalgal taxa. Historical aerial imagery revealed a progressive expansion of G. vermiculophylla 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 G. vermiculophylla 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 G. vermiculophylla and similar invasive species.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2024-12-21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resources">
    <vt:lpwstr/>
  </property>
  <property fmtid="{D5CDD505-2E9C-101B-9397-08002B2CF9AE}" pid="26" name="shorttitle">
    <vt:lpwstr>DISCOV - Gracilaria</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